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sämtliche Nasszellen</w:t>
            </w:r>
          </w:p>
          <w:p>
            <w:pPr>
              <w:spacing w:before="0" w:after="0"/>
            </w:pPr>
            <w:r>
              <w:t>DG/2.OG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Fliesenkleber, Einbau jünger als 1990</w:t>
            </w:r>
          </w:p>
          <w:p>
            <w:pPr>
              <w:spacing w:before="0" w:after="0"/>
            </w:pPr>
            <w:r>
              <w:t>Wand/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4030060" name="12ed954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289868" name="12ed9540-f6e1-11f0-88bd-97835190f6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1912878" name="536de1b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742614" name="536de1b0-f6e1-11f0-88bd-97835190f67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Zimmer/ Wohnzimmer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Elektrospeicherofen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89779655" name="4eac93a0-f6e2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1965741" name="4eac93a0-f6e2-11f0-88bd-97835190f6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5923097" name="546a9bc0-f6e2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761974" name="546a9bc0-f6e2-11f0-88bd-97835190f67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Bodenaufbau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4265654" name="9a871b00-f6e3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4288339" name="9a871b00-f6e3-11f0-88bd-97835190f67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1371495" name="87a6f3c0-f6e3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7692120" name="87a6f3c0-f6e3-11f0-88bd-97835190f67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